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360" w:lineRule="auto"/>
        <w:ind w:firstLine="883" w:firstLineChars="200"/>
        <w:jc w:val="both"/>
        <w:rPr>
          <w:rFonts w:hint="eastAsia" w:asciiTheme="majorEastAsia" w:hAnsiTheme="majorEastAsia" w:eastAsiaTheme="majorEastAsia" w:cstheme="majorEastAsia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2"/>
          <w:sz w:val="44"/>
          <w:szCs w:val="44"/>
          <w:lang w:val="en-US" w:eastAsia="zh-CN" w:bidi="ar-SA"/>
        </w:rPr>
        <w:t>生物医药产业数据服务内容需求清单</w:t>
      </w:r>
    </w:p>
    <w:p>
      <w:pPr>
        <w:widowControl w:val="0"/>
        <w:spacing w:line="360" w:lineRule="auto"/>
        <w:ind w:firstLine="883" w:firstLineChars="200"/>
        <w:jc w:val="both"/>
        <w:rPr>
          <w:rFonts w:hint="eastAsia" w:asciiTheme="majorEastAsia" w:hAnsiTheme="majorEastAsia" w:eastAsiaTheme="majorEastAsia" w:cstheme="majorEastAsia"/>
          <w:b/>
          <w:bCs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</w:p>
    <w:tbl>
      <w:tblPr>
        <w:tblStyle w:val="2"/>
        <w:tblW w:w="96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3"/>
        <w:gridCol w:w="83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firstLine="482" w:firstLineChars="200"/>
              <w:jc w:val="both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3373" w:firstLineChars="1200"/>
              <w:jc w:val="both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技术要求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中国药品生产企业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需提供中国药品生产企业的详细信息，帮助了解整个生产企业情况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研发实力排行、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药品研发申报格局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需要了解目前行业的研发实力，以及申报情况，帮助快速判断和了解行业情况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企业筛选系统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需要直观展示中国上市药品及企业之间的关系，可直观对比企业与企业间生产能力，对比药品与药品间的上市情况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中国上市器械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需提供国产和进口Ⅱ、Ⅲ类医疗器械注册信息，帮助了解器械注册情况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器械注册审评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default" w:ascii="仿宋" w:hAnsi="仿宋" w:eastAsia="仿宋" w:cs="Times New Roman"/>
                <w:sz w:val="24"/>
                <w:szCs w:val="24"/>
                <w:lang w:eastAsia="zh-CN"/>
              </w:rPr>
              <w:t>提供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器械审评情况</w:t>
            </w:r>
            <w:r>
              <w:rPr>
                <w:rFonts w:hint="default" w:ascii="仿宋" w:hAnsi="仿宋" w:eastAsia="仿宋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可为调研提供参考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器械创新和优先审批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需提供器械创新和优先审批产品，可为调研提供参考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药品转让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需提供包括药厂/生产线转让、药品生产批件、新药证书、临床批件 、处方工艺等一系列已申报和正在研发的项目。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中国/全球临床试验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需提供全球范围的临床信息，可快速了解临床进度等重要信息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临床研究分析系统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需从“申办企业”、“主要研究者”、“试验机构”、“临床试验”等维度展开，可帮助客户快速调研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中国上市药品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需提供国内药品上市信息，可快速筛选独家品种等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全球上市药品筛选系统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需提供全球药品上市信息，可快速了解全球药品上市情况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药品注册与受理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需提供药品注册进展，帮助快速了解目前药品注册审评情况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区域产业分析系统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需快速查询区域产量，可通过企业，研发，市场，投融资等方面进行数据分析，帮助进行调研和判断市场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Chars="0" w:firstLine="480" w:firstLineChars="20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投资格局</w:t>
            </w:r>
          </w:p>
        </w:tc>
        <w:tc>
          <w:tcPr>
            <w:tcW w:w="8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需涵盖企业信息、机构信息、结构化的投融资、并购、交易数据等，方便了解目前市场资讯</w:t>
            </w:r>
          </w:p>
        </w:tc>
      </w:tr>
    </w:tbl>
    <w:p>
      <w:pPr>
        <w:numPr>
          <w:ilvl w:val="0"/>
          <w:numId w:val="0"/>
        </w:numPr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OTVkYTM3NmI3NjJhZjRjOGJkYjE2YTk2ZDQyNTIifQ=="/>
  </w:docVars>
  <w:rsids>
    <w:rsidRoot w:val="00000000"/>
    <w:rsid w:val="197F14A2"/>
    <w:rsid w:val="1BFFD060"/>
    <w:rsid w:val="1C0E6669"/>
    <w:rsid w:val="25CC0E5C"/>
    <w:rsid w:val="4109532F"/>
    <w:rsid w:val="4C101506"/>
    <w:rsid w:val="583D0869"/>
    <w:rsid w:val="5DEBE630"/>
    <w:rsid w:val="685D323F"/>
    <w:rsid w:val="75DAD9FC"/>
    <w:rsid w:val="F77F0A7D"/>
    <w:rsid w:val="FFFB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1017</Words>
  <Characters>1033</Characters>
  <Lines>0</Lines>
  <Paragraphs>0</Paragraphs>
  <TotalTime>3</TotalTime>
  <ScaleCrop>false</ScaleCrop>
  <LinksUpToDate>false</LinksUpToDate>
  <CharactersWithSpaces>1048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2024-05-31T14:40:00Z</dcterms:created>
  <dc:creator>Administrator</dc:creator>
  <cp:lastModifiedBy>潘子欣</cp:lastModifiedBy>
  <dcterms:modified xsi:type="dcterms:W3CDTF">2024-06-03T02:20:33Z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3C8AC58E791F46CAAC5B6847ADA62B10_12</vt:lpwstr>
  </property>
</Properties>
</file>